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2FAF" w14:textId="5DCD6660" w:rsidR="001516D4" w:rsidRPr="001516D4" w:rsidRDefault="001516D4" w:rsidP="001516D4">
      <w:pPr>
        <w:jc w:val="center"/>
        <w:rPr>
          <w:b/>
          <w:bCs/>
        </w:rPr>
      </w:pPr>
      <w:r w:rsidRPr="001516D4">
        <w:rPr>
          <w:b/>
          <w:bCs/>
        </w:rPr>
        <w:t>NOTICE OF SUPPLEMENTAL BUDGET HEARING</w:t>
      </w:r>
    </w:p>
    <w:p w14:paraId="529EFB1B" w14:textId="77777777" w:rsidR="001516D4" w:rsidRDefault="001516D4" w:rsidP="001516D4">
      <w:r>
        <w:t xml:space="preserve">      •  For supplemental budgets proposing a change in any fund's expenditures by more than 10 percent.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32809" w14:textId="77777777" w:rsidR="001516D4" w:rsidRDefault="001516D4" w:rsidP="001516D4">
      <w:r>
        <w:t>A public hearing on a proposed supplemental budget for the City of Adair Village for the current fiscal year will be held at</w:t>
      </w:r>
      <w:r>
        <w:t xml:space="preserve"> </w:t>
      </w:r>
      <w:r>
        <w:t>Adair Village City Hall, 6030 NE William R. Carr Avenue, Adair Village, Oregon.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435D7E" w14:textId="50831EF9" w:rsidR="001516D4" w:rsidRDefault="001516D4" w:rsidP="001516D4">
      <w:r>
        <w:t>The hearing will take place on June 1</w:t>
      </w:r>
      <w:r>
        <w:t>6</w:t>
      </w:r>
      <w:r>
        <w:t xml:space="preserve">, </w:t>
      </w:r>
      <w:r>
        <w:t>2026,</w:t>
      </w:r>
      <w:r>
        <w:t xml:space="preserve"> at 6:00 PM.</w:t>
      </w:r>
      <w:r>
        <w:tab/>
      </w:r>
      <w:r>
        <w:tab/>
      </w:r>
      <w:r>
        <w:tab/>
      </w:r>
    </w:p>
    <w:p w14:paraId="6169AB76" w14:textId="77777777" w:rsidR="001516D4" w:rsidRDefault="001516D4" w:rsidP="001516D4">
      <w:r>
        <w:t xml:space="preserve">The purpose of the hearing is to discuss the supplemental budget with interested </w:t>
      </w:r>
      <w:proofErr w:type="gramStart"/>
      <w:r>
        <w:t>persons</w:t>
      </w:r>
      <w:proofErr w:type="gramEnd"/>
      <w:r>
        <w:t>.</w:t>
      </w:r>
    </w:p>
    <w:p w14:paraId="3EBC20E7" w14:textId="22BF6364" w:rsidR="001516D4" w:rsidRDefault="001516D4" w:rsidP="001516D4">
      <w:r>
        <w:t xml:space="preserve">A copy of the supplemental budget document may be inspected or obtained on or after </w:t>
      </w:r>
      <w:r>
        <w:t>June 1</w:t>
      </w:r>
      <w:r>
        <w:t xml:space="preserve">, </w:t>
      </w:r>
      <w:r>
        <w:t>2026,</w:t>
      </w:r>
      <w:r>
        <w:t xml:space="preserve"> at Adair Village City Hall between the hours of 8:00 AM and 5:00 PM.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47071F" w14:textId="77777777" w:rsidR="001516D4" w:rsidRDefault="001516D4" w:rsidP="00151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DE9A77" w14:textId="42C7F4AA" w:rsidR="001516D4" w:rsidRPr="001516D4" w:rsidRDefault="001516D4" w:rsidP="001516D4">
      <w:pPr>
        <w:jc w:val="center"/>
        <w:rPr>
          <w:b/>
          <w:bCs/>
        </w:rPr>
      </w:pPr>
      <w:r w:rsidRPr="001516D4">
        <w:rPr>
          <w:b/>
          <w:bCs/>
        </w:rPr>
        <w:t>SUMMARY OF PROPOSED BUDGET CHANGES</w:t>
      </w:r>
    </w:p>
    <w:p w14:paraId="32C8D0A2" w14:textId="66D10513" w:rsidR="001516D4" w:rsidRDefault="001516D4" w:rsidP="001516D4">
      <w:pPr>
        <w:jc w:val="center"/>
      </w:pPr>
      <w:r>
        <w:t>AMOUNTS SHOWN ARE REVISED TOTALS IN THOSE FUNDS BEING MODIFIED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614"/>
        <w:gridCol w:w="2338"/>
        <w:gridCol w:w="2338"/>
      </w:tblGrid>
      <w:tr w:rsidR="001516D4" w:rsidRPr="001516D4" w14:paraId="156317A3" w14:textId="77777777" w:rsidTr="00C15133">
        <w:tc>
          <w:tcPr>
            <w:tcW w:w="3060" w:type="dxa"/>
            <w:vAlign w:val="bottom"/>
          </w:tcPr>
          <w:p w14:paraId="202B173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1614" w:type="dxa"/>
            <w:vAlign w:val="bottom"/>
          </w:tcPr>
          <w:p w14:paraId="3025A31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Adopted Budget</w:t>
            </w:r>
          </w:p>
        </w:tc>
        <w:tc>
          <w:tcPr>
            <w:tcW w:w="2338" w:type="dxa"/>
            <w:vAlign w:val="bottom"/>
          </w:tcPr>
          <w:p w14:paraId="2EEF9A74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 xml:space="preserve">Budget Adjustment – Increase of Available Fund Resources and </w:t>
            </w: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Increase to Expense</w:t>
            </w:r>
          </w:p>
        </w:tc>
        <w:tc>
          <w:tcPr>
            <w:tcW w:w="2338" w:type="dxa"/>
            <w:vAlign w:val="bottom"/>
          </w:tcPr>
          <w:p w14:paraId="390524D7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Amended Budget</w:t>
            </w:r>
          </w:p>
        </w:tc>
      </w:tr>
      <w:tr w:rsidR="001516D4" w:rsidRPr="001516D4" w14:paraId="3233E2EA" w14:textId="77777777" w:rsidTr="00C15133">
        <w:tc>
          <w:tcPr>
            <w:tcW w:w="3060" w:type="dxa"/>
          </w:tcPr>
          <w:p w14:paraId="158E7F4A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</w:p>
        </w:tc>
        <w:tc>
          <w:tcPr>
            <w:tcW w:w="1614" w:type="dxa"/>
          </w:tcPr>
          <w:p w14:paraId="16B600C5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5F483299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6FC9F7CA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7BE26686" w14:textId="77777777" w:rsidTr="00C15133">
        <w:tc>
          <w:tcPr>
            <w:tcW w:w="3060" w:type="dxa"/>
          </w:tcPr>
          <w:p w14:paraId="0B94FF75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 xml:space="preserve">General Fund – </w:t>
            </w:r>
          </w:p>
          <w:p w14:paraId="6E18D3D0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 xml:space="preserve">Public Safety: </w:t>
            </w:r>
          </w:p>
        </w:tc>
        <w:tc>
          <w:tcPr>
            <w:tcW w:w="1614" w:type="dxa"/>
          </w:tcPr>
          <w:p w14:paraId="4982C820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39444D51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0C56E02A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5B6B87BA" w14:textId="77777777" w:rsidTr="00C15133">
        <w:tc>
          <w:tcPr>
            <w:tcW w:w="3060" w:type="dxa"/>
          </w:tcPr>
          <w:p w14:paraId="37841685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>Resources:</w:t>
            </w:r>
          </w:p>
        </w:tc>
        <w:tc>
          <w:tcPr>
            <w:tcW w:w="1614" w:type="dxa"/>
          </w:tcPr>
          <w:p w14:paraId="6160BF43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57964A1A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3BA59C57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4D9E8E2E" w14:textId="77777777" w:rsidTr="00C15133">
        <w:tc>
          <w:tcPr>
            <w:tcW w:w="3060" w:type="dxa"/>
          </w:tcPr>
          <w:p w14:paraId="4742C768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Property Taxes</w:t>
            </w:r>
          </w:p>
        </w:tc>
        <w:tc>
          <w:tcPr>
            <w:tcW w:w="1614" w:type="dxa"/>
          </w:tcPr>
          <w:p w14:paraId="67E8BCA4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 xml:space="preserve">    $269,000</w:t>
            </w:r>
          </w:p>
        </w:tc>
        <w:tc>
          <w:tcPr>
            <w:tcW w:w="2338" w:type="dxa"/>
          </w:tcPr>
          <w:p w14:paraId="6699D3F1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 xml:space="preserve">         $12,000</w:t>
            </w:r>
          </w:p>
        </w:tc>
        <w:tc>
          <w:tcPr>
            <w:tcW w:w="2338" w:type="dxa"/>
          </w:tcPr>
          <w:p w14:paraId="3664A1C3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 xml:space="preserve">         $281,000</w:t>
            </w:r>
          </w:p>
        </w:tc>
      </w:tr>
      <w:tr w:rsidR="001516D4" w:rsidRPr="001516D4" w14:paraId="58F186F6" w14:textId="77777777" w:rsidTr="00C15133">
        <w:tc>
          <w:tcPr>
            <w:tcW w:w="3060" w:type="dxa"/>
          </w:tcPr>
          <w:p w14:paraId="56C15A78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>Requirements:</w:t>
            </w:r>
          </w:p>
        </w:tc>
        <w:tc>
          <w:tcPr>
            <w:tcW w:w="1614" w:type="dxa"/>
          </w:tcPr>
          <w:p w14:paraId="52B88CAD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</w:t>
            </w:r>
          </w:p>
        </w:tc>
        <w:tc>
          <w:tcPr>
            <w:tcW w:w="2338" w:type="dxa"/>
          </w:tcPr>
          <w:p w14:paraId="0CF9B5F2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62C5CA5F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565E4EF3" w14:textId="77777777" w:rsidTr="00C15133">
        <w:tc>
          <w:tcPr>
            <w:tcW w:w="3060" w:type="dxa"/>
          </w:tcPr>
          <w:p w14:paraId="44D36D26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City Administrator</w:t>
            </w:r>
          </w:p>
        </w:tc>
        <w:tc>
          <w:tcPr>
            <w:tcW w:w="1614" w:type="dxa"/>
          </w:tcPr>
          <w:p w14:paraId="7E0F2637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$7,999</w:t>
            </w:r>
          </w:p>
        </w:tc>
        <w:tc>
          <w:tcPr>
            <w:tcW w:w="2338" w:type="dxa"/>
          </w:tcPr>
          <w:p w14:paraId="2639FCE6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$9,000</w:t>
            </w:r>
          </w:p>
        </w:tc>
        <w:tc>
          <w:tcPr>
            <w:tcW w:w="2338" w:type="dxa"/>
          </w:tcPr>
          <w:p w14:paraId="19A7D335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$16,999</w:t>
            </w:r>
          </w:p>
        </w:tc>
      </w:tr>
      <w:tr w:rsidR="001516D4" w:rsidRPr="001516D4" w14:paraId="2F8F820D" w14:textId="77777777" w:rsidTr="00C15133">
        <w:tc>
          <w:tcPr>
            <w:tcW w:w="3060" w:type="dxa"/>
          </w:tcPr>
          <w:p w14:paraId="7B07B10B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Employee Health Ins Benefits</w:t>
            </w:r>
          </w:p>
        </w:tc>
        <w:tc>
          <w:tcPr>
            <w:tcW w:w="1614" w:type="dxa"/>
          </w:tcPr>
          <w:p w14:paraId="711FDAFE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$1,585</w:t>
            </w:r>
          </w:p>
        </w:tc>
        <w:tc>
          <w:tcPr>
            <w:tcW w:w="2338" w:type="dxa"/>
          </w:tcPr>
          <w:p w14:paraId="6E2146F8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$1,000</w:t>
            </w:r>
          </w:p>
        </w:tc>
        <w:tc>
          <w:tcPr>
            <w:tcW w:w="2338" w:type="dxa"/>
          </w:tcPr>
          <w:p w14:paraId="0DAC8C50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$2,585</w:t>
            </w:r>
          </w:p>
        </w:tc>
      </w:tr>
      <w:tr w:rsidR="001516D4" w:rsidRPr="001516D4" w14:paraId="48C64094" w14:textId="77777777" w:rsidTr="00C15133">
        <w:tc>
          <w:tcPr>
            <w:tcW w:w="3060" w:type="dxa"/>
          </w:tcPr>
          <w:p w14:paraId="2F7CEDE9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Retirement Benefits</w:t>
            </w:r>
          </w:p>
          <w:p w14:paraId="66BFDE88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Insurance</w:t>
            </w:r>
          </w:p>
          <w:p w14:paraId="69C8EDE8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614" w:type="dxa"/>
          </w:tcPr>
          <w:p w14:paraId="5C5BC9B3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$2,278</w:t>
            </w:r>
          </w:p>
          <w:p w14:paraId="4855D1DC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$6,300</w:t>
            </w:r>
          </w:p>
        </w:tc>
        <w:tc>
          <w:tcPr>
            <w:tcW w:w="2338" w:type="dxa"/>
          </w:tcPr>
          <w:p w14:paraId="1F60CC1A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$1,000</w:t>
            </w:r>
          </w:p>
          <w:p w14:paraId="5F82B97D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$1,000</w:t>
            </w:r>
          </w:p>
        </w:tc>
        <w:tc>
          <w:tcPr>
            <w:tcW w:w="2338" w:type="dxa"/>
          </w:tcPr>
          <w:p w14:paraId="3512EB85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$3,278</w:t>
            </w:r>
          </w:p>
          <w:p w14:paraId="31E21181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         $7,300</w:t>
            </w:r>
          </w:p>
        </w:tc>
      </w:tr>
      <w:tr w:rsidR="001516D4" w:rsidRPr="001516D4" w14:paraId="7E5DB846" w14:textId="77777777" w:rsidTr="00C15133">
        <w:tc>
          <w:tcPr>
            <w:tcW w:w="3060" w:type="dxa"/>
          </w:tcPr>
          <w:p w14:paraId="78A848E0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Water Fund:</w:t>
            </w:r>
          </w:p>
        </w:tc>
        <w:tc>
          <w:tcPr>
            <w:tcW w:w="1614" w:type="dxa"/>
          </w:tcPr>
          <w:p w14:paraId="6B00B4C8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15243CCB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2A3CED06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67060E9C" w14:textId="77777777" w:rsidTr="00C15133">
        <w:tc>
          <w:tcPr>
            <w:tcW w:w="3060" w:type="dxa"/>
          </w:tcPr>
          <w:p w14:paraId="6C733F00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>Resources:</w:t>
            </w:r>
          </w:p>
        </w:tc>
        <w:tc>
          <w:tcPr>
            <w:tcW w:w="1614" w:type="dxa"/>
          </w:tcPr>
          <w:p w14:paraId="1C44E0A8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196B580A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461D244A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1B2519D1" w14:textId="77777777" w:rsidTr="00C15133">
        <w:tc>
          <w:tcPr>
            <w:tcW w:w="3060" w:type="dxa"/>
          </w:tcPr>
          <w:p w14:paraId="6E6B6DCE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Beginning Fund Balance</w:t>
            </w:r>
          </w:p>
        </w:tc>
        <w:tc>
          <w:tcPr>
            <w:tcW w:w="1614" w:type="dxa"/>
          </w:tcPr>
          <w:p w14:paraId="2A6070B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$204,853</w:t>
            </w:r>
          </w:p>
        </w:tc>
        <w:tc>
          <w:tcPr>
            <w:tcW w:w="2338" w:type="dxa"/>
          </w:tcPr>
          <w:p w14:paraId="50D0360E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$250,000</w:t>
            </w:r>
          </w:p>
        </w:tc>
        <w:tc>
          <w:tcPr>
            <w:tcW w:w="2338" w:type="dxa"/>
          </w:tcPr>
          <w:p w14:paraId="5EB6854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$454,853</w:t>
            </w:r>
          </w:p>
        </w:tc>
      </w:tr>
      <w:tr w:rsidR="001516D4" w:rsidRPr="001516D4" w14:paraId="513ED157" w14:textId="77777777" w:rsidTr="00C15133">
        <w:tc>
          <w:tcPr>
            <w:tcW w:w="3060" w:type="dxa"/>
          </w:tcPr>
          <w:p w14:paraId="795C32E6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>Requirements:</w:t>
            </w:r>
          </w:p>
        </w:tc>
        <w:tc>
          <w:tcPr>
            <w:tcW w:w="1614" w:type="dxa"/>
          </w:tcPr>
          <w:p w14:paraId="6119A8CC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306D951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338" w:type="dxa"/>
          </w:tcPr>
          <w:p w14:paraId="76FC89C9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58945E33" w14:textId="77777777" w:rsidTr="00C15133">
        <w:tc>
          <w:tcPr>
            <w:tcW w:w="3060" w:type="dxa"/>
          </w:tcPr>
          <w:p w14:paraId="71F1D10B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 xml:space="preserve">Capital Outlay: </w:t>
            </w:r>
          </w:p>
          <w:p w14:paraId="64ED760D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Water System Improvements</w:t>
            </w:r>
          </w:p>
        </w:tc>
        <w:tc>
          <w:tcPr>
            <w:tcW w:w="1614" w:type="dxa"/>
          </w:tcPr>
          <w:p w14:paraId="04D6AFA9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$154,500</w:t>
            </w:r>
          </w:p>
        </w:tc>
        <w:tc>
          <w:tcPr>
            <w:tcW w:w="2338" w:type="dxa"/>
          </w:tcPr>
          <w:p w14:paraId="3B1D9F3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$250,000</w:t>
            </w:r>
          </w:p>
        </w:tc>
        <w:tc>
          <w:tcPr>
            <w:tcW w:w="2338" w:type="dxa"/>
          </w:tcPr>
          <w:p w14:paraId="7A70E880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$404,500</w:t>
            </w:r>
          </w:p>
        </w:tc>
      </w:tr>
    </w:tbl>
    <w:p w14:paraId="4EEEB35A" w14:textId="50336E02" w:rsidR="001516D4" w:rsidRPr="001516D4" w:rsidRDefault="001516D4" w:rsidP="001516D4">
      <w:pPr>
        <w:rPr>
          <w:rFonts w:ascii="Aptos" w:eastAsia="Aptos" w:hAnsi="Aptos" w:cs="Times New Roman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350"/>
        <w:gridCol w:w="3420"/>
        <w:gridCol w:w="2250"/>
      </w:tblGrid>
      <w:tr w:rsidR="001516D4" w:rsidRPr="001516D4" w14:paraId="56C76D51" w14:textId="77777777" w:rsidTr="00C15133">
        <w:tc>
          <w:tcPr>
            <w:tcW w:w="2790" w:type="dxa"/>
            <w:vAlign w:val="bottom"/>
          </w:tcPr>
          <w:p w14:paraId="366361F5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</w:tc>
        <w:tc>
          <w:tcPr>
            <w:tcW w:w="1350" w:type="dxa"/>
            <w:vAlign w:val="bottom"/>
          </w:tcPr>
          <w:p w14:paraId="1DB1BAD0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Adopted Budget</w:t>
            </w:r>
          </w:p>
        </w:tc>
        <w:tc>
          <w:tcPr>
            <w:tcW w:w="3420" w:type="dxa"/>
            <w:vAlign w:val="bottom"/>
          </w:tcPr>
          <w:p w14:paraId="465889FD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 xml:space="preserve">Budget Adjustment – Increase of Available Fund Resources and </w:t>
            </w: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Increase to Expense</w:t>
            </w:r>
          </w:p>
        </w:tc>
        <w:tc>
          <w:tcPr>
            <w:tcW w:w="2250" w:type="dxa"/>
            <w:vAlign w:val="bottom"/>
          </w:tcPr>
          <w:p w14:paraId="4DB2933D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Amended Budget</w:t>
            </w:r>
          </w:p>
        </w:tc>
      </w:tr>
      <w:tr w:rsidR="001516D4" w:rsidRPr="001516D4" w14:paraId="7E60F621" w14:textId="77777777" w:rsidTr="00C15133">
        <w:tc>
          <w:tcPr>
            <w:tcW w:w="2790" w:type="dxa"/>
          </w:tcPr>
          <w:p w14:paraId="3BB99451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  <w:u w:val="single"/>
              </w:rPr>
              <w:t>Wastewater Fund:</w:t>
            </w:r>
          </w:p>
          <w:p w14:paraId="597BC3BC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>Resources:</w:t>
            </w:r>
          </w:p>
        </w:tc>
        <w:tc>
          <w:tcPr>
            <w:tcW w:w="1350" w:type="dxa"/>
          </w:tcPr>
          <w:p w14:paraId="7C10FB1B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20" w:type="dxa"/>
          </w:tcPr>
          <w:p w14:paraId="327E25A8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2C7778C5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0F97C626" w14:textId="77777777" w:rsidTr="00C15133">
        <w:tc>
          <w:tcPr>
            <w:tcW w:w="2790" w:type="dxa"/>
          </w:tcPr>
          <w:p w14:paraId="68CF44A6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IFA Lottery Loan for expansion, lagoon, and infiltration</w:t>
            </w:r>
          </w:p>
          <w:p w14:paraId="72898D76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</w:p>
        </w:tc>
        <w:tc>
          <w:tcPr>
            <w:tcW w:w="1350" w:type="dxa"/>
          </w:tcPr>
          <w:p w14:paraId="2204DD0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$0</w:t>
            </w:r>
          </w:p>
        </w:tc>
        <w:tc>
          <w:tcPr>
            <w:tcW w:w="3420" w:type="dxa"/>
          </w:tcPr>
          <w:p w14:paraId="2FA13F39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$250,000</w:t>
            </w:r>
          </w:p>
        </w:tc>
        <w:tc>
          <w:tcPr>
            <w:tcW w:w="2250" w:type="dxa"/>
          </w:tcPr>
          <w:p w14:paraId="58033F14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$250,000</w:t>
            </w:r>
          </w:p>
        </w:tc>
      </w:tr>
      <w:tr w:rsidR="001516D4" w:rsidRPr="001516D4" w14:paraId="55D9F376" w14:textId="77777777" w:rsidTr="00C15133">
        <w:tc>
          <w:tcPr>
            <w:tcW w:w="2790" w:type="dxa"/>
          </w:tcPr>
          <w:p w14:paraId="4C995826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2020 Wastewater Treatment Loan</w:t>
            </w:r>
          </w:p>
        </w:tc>
        <w:tc>
          <w:tcPr>
            <w:tcW w:w="1350" w:type="dxa"/>
          </w:tcPr>
          <w:p w14:paraId="31D79A6C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$600,000</w:t>
            </w:r>
          </w:p>
        </w:tc>
        <w:tc>
          <w:tcPr>
            <w:tcW w:w="3420" w:type="dxa"/>
          </w:tcPr>
          <w:p w14:paraId="374BFB4D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$57,000</w:t>
            </w:r>
          </w:p>
        </w:tc>
        <w:tc>
          <w:tcPr>
            <w:tcW w:w="2250" w:type="dxa"/>
          </w:tcPr>
          <w:p w14:paraId="78F4792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$657,000</w:t>
            </w:r>
          </w:p>
        </w:tc>
      </w:tr>
      <w:tr w:rsidR="001516D4" w:rsidRPr="001516D4" w14:paraId="305D64C5" w14:textId="77777777" w:rsidTr="00C15133">
        <w:tc>
          <w:tcPr>
            <w:tcW w:w="2790" w:type="dxa"/>
          </w:tcPr>
          <w:p w14:paraId="255DEB95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1F237452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  <w:bCs/>
              </w:rPr>
              <w:t>Requirements:</w:t>
            </w:r>
          </w:p>
        </w:tc>
        <w:tc>
          <w:tcPr>
            <w:tcW w:w="1350" w:type="dxa"/>
          </w:tcPr>
          <w:p w14:paraId="2E32225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20" w:type="dxa"/>
          </w:tcPr>
          <w:p w14:paraId="545B3D90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4B55A9BC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7B4A2188" w14:textId="77777777" w:rsidTr="00C15133">
        <w:tc>
          <w:tcPr>
            <w:tcW w:w="2790" w:type="dxa"/>
          </w:tcPr>
          <w:p w14:paraId="09EF9A62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</w:rPr>
              <w:t>Capital Outlay</w:t>
            </w:r>
            <w:r w:rsidRPr="001516D4">
              <w:rPr>
                <w:rFonts w:ascii="Times New Roman" w:eastAsia="Aptos" w:hAnsi="Times New Roman" w:cs="Times New Roman"/>
                <w:bCs/>
              </w:rPr>
              <w:t xml:space="preserve">: Capacity </w:t>
            </w:r>
            <w:r w:rsidRPr="001516D4">
              <w:rPr>
                <w:rFonts w:ascii="Times New Roman" w:eastAsia="Aptos" w:hAnsi="Times New Roman" w:cs="Times New Roman"/>
              </w:rPr>
              <w:t>expansion, lagoon, and infiltration</w:t>
            </w:r>
            <w:r w:rsidRPr="001516D4">
              <w:rPr>
                <w:rFonts w:ascii="Times New Roman" w:eastAsia="Aptos" w:hAnsi="Times New Roman" w:cs="Times New Roman"/>
                <w:bCs/>
              </w:rPr>
              <w:t xml:space="preserve">  </w:t>
            </w:r>
          </w:p>
        </w:tc>
        <w:tc>
          <w:tcPr>
            <w:tcW w:w="1350" w:type="dxa"/>
          </w:tcPr>
          <w:p w14:paraId="480259A6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$0</w:t>
            </w:r>
          </w:p>
        </w:tc>
        <w:tc>
          <w:tcPr>
            <w:tcW w:w="3420" w:type="dxa"/>
          </w:tcPr>
          <w:p w14:paraId="1D360A0D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$250,000</w:t>
            </w:r>
          </w:p>
        </w:tc>
        <w:tc>
          <w:tcPr>
            <w:tcW w:w="2250" w:type="dxa"/>
          </w:tcPr>
          <w:p w14:paraId="3D2C58E8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$250,000</w:t>
            </w:r>
          </w:p>
          <w:p w14:paraId="695BA15B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4A1738C8" w14:textId="77777777" w:rsidTr="00C15133">
        <w:tc>
          <w:tcPr>
            <w:tcW w:w="2790" w:type="dxa"/>
          </w:tcPr>
          <w:p w14:paraId="65F559D0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/>
              </w:rPr>
              <w:t>Debt Service</w:t>
            </w:r>
            <w:r w:rsidRPr="001516D4">
              <w:rPr>
                <w:rFonts w:ascii="Times New Roman" w:eastAsia="Aptos" w:hAnsi="Times New Roman" w:cs="Times New Roman"/>
                <w:bCs/>
              </w:rPr>
              <w:t xml:space="preserve">: </w:t>
            </w:r>
          </w:p>
          <w:p w14:paraId="108360B3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Cs/>
              </w:rPr>
              <w:t>WWTP Loan Repayment</w:t>
            </w:r>
          </w:p>
        </w:tc>
        <w:tc>
          <w:tcPr>
            <w:tcW w:w="1350" w:type="dxa"/>
          </w:tcPr>
          <w:p w14:paraId="1B21683B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$131,000</w:t>
            </w:r>
          </w:p>
        </w:tc>
        <w:tc>
          <w:tcPr>
            <w:tcW w:w="3420" w:type="dxa"/>
          </w:tcPr>
          <w:p w14:paraId="6BA8518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$57,000</w:t>
            </w:r>
          </w:p>
        </w:tc>
        <w:tc>
          <w:tcPr>
            <w:tcW w:w="2250" w:type="dxa"/>
          </w:tcPr>
          <w:p w14:paraId="334DC8A5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$188,000</w:t>
            </w:r>
          </w:p>
        </w:tc>
      </w:tr>
      <w:tr w:rsidR="001516D4" w:rsidRPr="001516D4" w14:paraId="624331E1" w14:textId="77777777" w:rsidTr="00C15133">
        <w:tc>
          <w:tcPr>
            <w:tcW w:w="2790" w:type="dxa"/>
          </w:tcPr>
          <w:p w14:paraId="77EA3E7F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</w:p>
          <w:p w14:paraId="706C9947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  <w:u w:val="single"/>
              </w:rPr>
            </w:pPr>
            <w:r w:rsidRPr="001516D4">
              <w:rPr>
                <w:rFonts w:ascii="Times New Roman" w:eastAsia="Aptos" w:hAnsi="Times New Roman" w:cs="Times New Roman"/>
                <w:b/>
                <w:u w:val="single"/>
              </w:rPr>
              <w:t>Storm Drain Fund</w:t>
            </w:r>
          </w:p>
          <w:p w14:paraId="11411E79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</w:rPr>
            </w:pPr>
            <w:r w:rsidRPr="001516D4">
              <w:rPr>
                <w:rFonts w:ascii="Times New Roman" w:eastAsia="Aptos" w:hAnsi="Times New Roman" w:cs="Times New Roman"/>
                <w:b/>
              </w:rPr>
              <w:t>Resources:</w:t>
            </w:r>
          </w:p>
          <w:p w14:paraId="0A3ACE2B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Cs/>
                <w:highlight w:val="lightGray"/>
              </w:rPr>
              <w:t>Beginning Fund Balance</w:t>
            </w:r>
          </w:p>
        </w:tc>
        <w:tc>
          <w:tcPr>
            <w:tcW w:w="1350" w:type="dxa"/>
          </w:tcPr>
          <w:p w14:paraId="0D0402AB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6DE712B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54C4EF75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22234FB8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$50,000</w:t>
            </w:r>
          </w:p>
        </w:tc>
        <w:tc>
          <w:tcPr>
            <w:tcW w:w="3420" w:type="dxa"/>
          </w:tcPr>
          <w:p w14:paraId="3FB6151E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4755007B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23004DB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5DB1656D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$12,100</w:t>
            </w:r>
          </w:p>
        </w:tc>
        <w:tc>
          <w:tcPr>
            <w:tcW w:w="2250" w:type="dxa"/>
          </w:tcPr>
          <w:p w14:paraId="798CF68A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2FDAF436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7DD77AA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</w:p>
          <w:p w14:paraId="4E886979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  <w:highlight w:val="lightGray"/>
              </w:rPr>
            </w:pPr>
            <w:r w:rsidRPr="001516D4">
              <w:rPr>
                <w:rFonts w:ascii="Times New Roman" w:eastAsia="Aptos" w:hAnsi="Times New Roman" w:cs="Times New Roman"/>
                <w:highlight w:val="lightGray"/>
              </w:rPr>
              <w:t>$62,100</w:t>
            </w:r>
          </w:p>
        </w:tc>
      </w:tr>
      <w:tr w:rsidR="001516D4" w:rsidRPr="001516D4" w14:paraId="3352B889" w14:textId="77777777" w:rsidTr="00C15133">
        <w:tc>
          <w:tcPr>
            <w:tcW w:w="2790" w:type="dxa"/>
          </w:tcPr>
          <w:p w14:paraId="46DD664B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36AA381E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20" w:type="dxa"/>
          </w:tcPr>
          <w:p w14:paraId="3B37ADD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6213F960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1516D4" w:rsidRPr="001516D4" w14:paraId="58B08BE1" w14:textId="77777777" w:rsidTr="00C15133">
        <w:tc>
          <w:tcPr>
            <w:tcW w:w="2790" w:type="dxa"/>
          </w:tcPr>
          <w:p w14:paraId="077E1F63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/>
              </w:rPr>
            </w:pPr>
            <w:r w:rsidRPr="001516D4">
              <w:rPr>
                <w:rFonts w:ascii="Times New Roman" w:eastAsia="Aptos" w:hAnsi="Times New Roman" w:cs="Times New Roman"/>
                <w:b/>
              </w:rPr>
              <w:t>Requirements:</w:t>
            </w:r>
          </w:p>
          <w:p w14:paraId="0C86D49C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Cs/>
              </w:rPr>
              <w:t>City Administrator</w:t>
            </w:r>
          </w:p>
          <w:p w14:paraId="2B972EA1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Cs/>
              </w:rPr>
              <w:t>Finance Clerk</w:t>
            </w:r>
          </w:p>
          <w:p w14:paraId="61E494AD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Cs/>
              </w:rPr>
              <w:t>PW Supervisor</w:t>
            </w:r>
          </w:p>
          <w:p w14:paraId="1928A7E9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Cs/>
              </w:rPr>
              <w:t>Utility Worker III</w:t>
            </w:r>
          </w:p>
          <w:p w14:paraId="47BE612C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  <w:bCs/>
              </w:rPr>
              <w:t>Operator I</w:t>
            </w:r>
          </w:p>
          <w:p w14:paraId="6DA2B26B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  <w:r w:rsidRPr="001516D4">
              <w:rPr>
                <w:rFonts w:ascii="Times New Roman" w:eastAsia="Aptos" w:hAnsi="Times New Roman" w:cs="Times New Roman"/>
              </w:rPr>
              <w:t>Employee Health Ins. Benefits</w:t>
            </w:r>
          </w:p>
        </w:tc>
        <w:tc>
          <w:tcPr>
            <w:tcW w:w="1350" w:type="dxa"/>
          </w:tcPr>
          <w:p w14:paraId="15A3A01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  <w:p w14:paraId="4142727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$3,999</w:t>
            </w:r>
          </w:p>
          <w:p w14:paraId="2D2D473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$1,521</w:t>
            </w:r>
          </w:p>
          <w:p w14:paraId="3D112374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$4,688</w:t>
            </w:r>
          </w:p>
          <w:p w14:paraId="5589EE4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$3,003</w:t>
            </w:r>
          </w:p>
          <w:p w14:paraId="2786410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$3,477</w:t>
            </w:r>
          </w:p>
          <w:p w14:paraId="647893D6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$4,758</w:t>
            </w:r>
          </w:p>
        </w:tc>
        <w:tc>
          <w:tcPr>
            <w:tcW w:w="3420" w:type="dxa"/>
          </w:tcPr>
          <w:p w14:paraId="00CC55BB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  <w:p w14:paraId="3A01AA5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$3,000</w:t>
            </w:r>
          </w:p>
          <w:p w14:paraId="6CF1C445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$1,000</w:t>
            </w:r>
          </w:p>
          <w:p w14:paraId="1203747E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$2,400</w:t>
            </w:r>
          </w:p>
          <w:p w14:paraId="2998CF2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$1,800</w:t>
            </w:r>
          </w:p>
          <w:p w14:paraId="664EF828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$1,900</w:t>
            </w:r>
          </w:p>
          <w:p w14:paraId="7E93083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$2,000</w:t>
            </w:r>
          </w:p>
        </w:tc>
        <w:tc>
          <w:tcPr>
            <w:tcW w:w="2250" w:type="dxa"/>
          </w:tcPr>
          <w:p w14:paraId="69AE550E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  <w:p w14:paraId="6001F3B1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$6,999</w:t>
            </w:r>
          </w:p>
          <w:p w14:paraId="45EEC5E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$2,521</w:t>
            </w:r>
          </w:p>
          <w:p w14:paraId="742C4C98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$7,088</w:t>
            </w:r>
          </w:p>
          <w:p w14:paraId="62835D33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$4,803</w:t>
            </w:r>
          </w:p>
          <w:p w14:paraId="649B62A3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$5,377</w:t>
            </w:r>
          </w:p>
          <w:p w14:paraId="382403BF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  <w:r w:rsidRPr="001516D4">
              <w:rPr>
                <w:rFonts w:ascii="Times New Roman" w:eastAsia="Aptos" w:hAnsi="Times New Roman" w:cs="Times New Roman"/>
              </w:rPr>
              <w:t>$6,758</w:t>
            </w:r>
          </w:p>
        </w:tc>
      </w:tr>
      <w:tr w:rsidR="001516D4" w:rsidRPr="001516D4" w14:paraId="7CFCEA1F" w14:textId="77777777" w:rsidTr="00C15133">
        <w:tc>
          <w:tcPr>
            <w:tcW w:w="2790" w:type="dxa"/>
          </w:tcPr>
          <w:p w14:paraId="07F31A3F" w14:textId="77777777" w:rsidR="001516D4" w:rsidRPr="001516D4" w:rsidRDefault="001516D4" w:rsidP="001516D4">
            <w:pPr>
              <w:rPr>
                <w:rFonts w:ascii="Times New Roman" w:eastAsia="Aptos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14429EC2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420" w:type="dxa"/>
          </w:tcPr>
          <w:p w14:paraId="5AD130F9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265098A6" w14:textId="77777777" w:rsidR="001516D4" w:rsidRPr="001516D4" w:rsidRDefault="001516D4" w:rsidP="001516D4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</w:tbl>
    <w:p w14:paraId="0DAEB4F4" w14:textId="77777777" w:rsidR="001516D4" w:rsidRPr="001516D4" w:rsidRDefault="001516D4" w:rsidP="001516D4">
      <w:pPr>
        <w:rPr>
          <w:rFonts w:ascii="Times New Roman" w:eastAsia="Aptos" w:hAnsi="Times New Roman" w:cs="Times New Roman"/>
          <w:b/>
          <w:bCs/>
        </w:rPr>
      </w:pPr>
      <w:r w:rsidRPr="001516D4">
        <w:rPr>
          <w:rFonts w:ascii="Times New Roman" w:eastAsia="Aptos" w:hAnsi="Times New Roman" w:cs="Times New Roman"/>
          <w:b/>
          <w:bCs/>
        </w:rPr>
        <w:t>Resources Total:</w:t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  <w:t>$1,123,853</w:t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  <w:t>$581,100</w:t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  <w:t>$1,704,953</w:t>
      </w:r>
    </w:p>
    <w:p w14:paraId="0260BAB4" w14:textId="77777777" w:rsidR="001516D4" w:rsidRPr="001516D4" w:rsidRDefault="001516D4" w:rsidP="001516D4">
      <w:pPr>
        <w:rPr>
          <w:rFonts w:ascii="Times New Roman" w:eastAsia="Aptos" w:hAnsi="Times New Roman" w:cs="Times New Roman"/>
          <w:b/>
          <w:bCs/>
        </w:rPr>
      </w:pPr>
      <w:r w:rsidRPr="001516D4">
        <w:rPr>
          <w:rFonts w:ascii="Times New Roman" w:eastAsia="Aptos" w:hAnsi="Times New Roman" w:cs="Times New Roman"/>
          <w:b/>
          <w:bCs/>
        </w:rPr>
        <w:t>Requirements Total:</w:t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  <w:t>$325,108</w:t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  <w:t>$581,100</w:t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</w:r>
      <w:r w:rsidRPr="001516D4">
        <w:rPr>
          <w:rFonts w:ascii="Times New Roman" w:eastAsia="Aptos" w:hAnsi="Times New Roman" w:cs="Times New Roman"/>
          <w:b/>
          <w:bCs/>
        </w:rPr>
        <w:tab/>
        <w:t>$906,208</w:t>
      </w:r>
    </w:p>
    <w:p w14:paraId="1FD37E7D" w14:textId="3F797D4D" w:rsidR="001C09B0" w:rsidRDefault="001516D4" w:rsidP="00151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0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D4"/>
    <w:rsid w:val="001516D4"/>
    <w:rsid w:val="001C09B0"/>
    <w:rsid w:val="007C156C"/>
    <w:rsid w:val="008D4AEA"/>
    <w:rsid w:val="009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9DB1"/>
  <w15:chartTrackingRefBased/>
  <w15:docId w15:val="{7501F20B-3169-404D-BCB0-FABBF74B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Hare</dc:creator>
  <cp:keywords/>
  <dc:description/>
  <cp:lastModifiedBy>Pat Hare</cp:lastModifiedBy>
  <cp:revision>1</cp:revision>
  <dcterms:created xsi:type="dcterms:W3CDTF">2026-05-26T17:03:00Z</dcterms:created>
  <dcterms:modified xsi:type="dcterms:W3CDTF">2026-05-26T17:14:00Z</dcterms:modified>
</cp:coreProperties>
</file>